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contextualSpacing/>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 诺 书</w:t>
      </w:r>
    </w:p>
    <w:p>
      <w:pPr>
        <w:widowControl/>
        <w:spacing w:line="540" w:lineRule="exact"/>
        <w:ind w:firstLine="600" w:firstLineChars="200"/>
        <w:contextualSpacing/>
        <w:rPr>
          <w:rFonts w:ascii="仿宋" w:hAnsi="仿宋" w:eastAsia="仿宋" w:cs="方正小标宋_GBK"/>
          <w:sz w:val="30"/>
          <w:szCs w:val="30"/>
        </w:rPr>
      </w:pPr>
    </w:p>
    <w:p>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拟申请律师执业人员（实习人员）</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kern w:val="0"/>
          <w:sz w:val="32"/>
          <w:szCs w:val="32"/>
        </w:rPr>
        <w:t>（公民身份号码：</w:t>
      </w:r>
      <w:r>
        <w:rPr>
          <w:rFonts w:hint="eastAsia" w:ascii="方正仿宋_GBK" w:hAnsi="方正仿宋_GBK" w:eastAsia="方正仿宋_GBK" w:cs="方正仿宋_GBK"/>
          <w:b/>
          <w:kern w:val="0"/>
          <w:sz w:val="32"/>
          <w:szCs w:val="32"/>
          <w:u w:val="single"/>
        </w:rPr>
        <w:t xml:space="preserve">                 </w:t>
      </w: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sz w:val="32"/>
          <w:szCs w:val="32"/>
        </w:rPr>
        <w:t>作如下承诺：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一、本人符合中华全国律师协会《</w:t>
      </w:r>
      <w:bookmarkStart w:id="0" w:name="_Toc103600212"/>
      <w:r>
        <w:rPr>
          <w:rFonts w:hint="eastAsia" w:ascii="方正仿宋_GBK" w:hAnsi="方正仿宋_GBK" w:eastAsia="方正仿宋_GBK" w:cs="方正仿宋_GBK"/>
          <w:b/>
          <w:sz w:val="32"/>
          <w:szCs w:val="32"/>
        </w:rPr>
        <w:t>申请律师执业人员实习管理规则</w:t>
      </w:r>
      <w:bookmarkEnd w:id="0"/>
      <w:r>
        <w:rPr>
          <w:rFonts w:hint="eastAsia" w:ascii="方正仿宋_GBK" w:hAnsi="方正仿宋_GBK" w:eastAsia="方正仿宋_GBK" w:cs="方正仿宋_GBK"/>
          <w:b/>
          <w:sz w:val="32"/>
          <w:szCs w:val="32"/>
        </w:rPr>
        <w:t>》第五条、广东省律师协会《</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"https://alphalawyer.cn/ilawregu-search/api/v1/lawregu/redict/737e56491a3e3589724c5f7ef5f60a8" </w:instrText>
      </w:r>
      <w:r>
        <w:rPr>
          <w:rFonts w:hint="eastAsia" w:ascii="方正仿宋_GBK" w:hAnsi="方正仿宋_GBK" w:eastAsia="方正仿宋_GBK" w:cs="方正仿宋_GBK"/>
          <w:sz w:val="32"/>
          <w:szCs w:val="32"/>
        </w:rPr>
        <w:fldChar w:fldCharType="separate"/>
      </w:r>
      <w:bookmarkStart w:id="1" w:name="_Toc103600217"/>
      <w:r>
        <w:rPr>
          <w:rFonts w:hint="eastAsia" w:ascii="方正仿宋_GBK" w:hAnsi="方正仿宋_GBK" w:eastAsia="方正仿宋_GBK" w:cs="方正仿宋_GBK"/>
          <w:b/>
          <w:sz w:val="32"/>
          <w:szCs w:val="32"/>
        </w:rPr>
        <w:t>广东省申请律师执业人员实习管理办法</w:t>
      </w:r>
      <w:bookmarkEnd w:id="1"/>
      <w:r>
        <w:rPr>
          <w:rFonts w:hint="eastAsia" w:ascii="方正仿宋_GBK" w:hAnsi="方正仿宋_GBK" w:eastAsia="方正仿宋_GBK" w:cs="方正仿宋_GBK"/>
          <w:b/>
          <w:sz w:val="32"/>
          <w:szCs w:val="32"/>
        </w:rPr>
        <w:fldChar w:fldCharType="end"/>
      </w:r>
      <w:r>
        <w:rPr>
          <w:rFonts w:hint="eastAsia" w:ascii="方正仿宋_GBK" w:hAnsi="方正仿宋_GBK" w:eastAsia="方正仿宋_GBK" w:cs="方正仿宋_GBK"/>
          <w:b/>
          <w:sz w:val="32"/>
          <w:szCs w:val="32"/>
        </w:rPr>
        <w:t>》第六条规定的条件：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（一）拥护中华人民共和国宪法，拥护中国共产党领导，拥护社会主义法治，尊崇宪法；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（二）取得国家统一法律职业资格证书或者国家统一司法考试合格证书、律师资格凭证；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（三）品行良好；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（四）具有完全民事行为能力；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（五）能够专职实习，或符合申请兼职律师条件并能够保证实习时间；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（六）未因故意犯罪受过刑事处罚；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（七）无被开除公职或者被吊销律师、公证员执业证书；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（八）接受律师协会的管理及考核。</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二、本人不存在中华全国律师协会《申请律师执业人员实习管理规则》第六条规定的下列情形：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（一）因故意犯罪受过刑事处罚的；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（二）被开除公职的</w:t>
      </w:r>
      <w:bookmarkStart w:id="2" w:name="_GoBack"/>
      <w:bookmarkEnd w:id="2"/>
      <w:r>
        <w:rPr>
          <w:rFonts w:hint="eastAsia" w:ascii="方正仿宋_GBK" w:hAnsi="方正仿宋_GBK" w:eastAsia="方正仿宋_GBK" w:cs="方正仿宋_GBK"/>
          <w:b w:val="0"/>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（三）因违法违纪行为被国家机关、事业单位辞退的；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（四）因违犯党纪受到撤销党内职务以上处分的；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（五）被吊销律师、公证员执业证书的；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（六）因违法违规行为被相关行业主管机关或者行业协会撤销其他职业资格或者吊销其他执业证书的；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（七）因违反治安管理行为被处以行政拘留的；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（八）因严重失信行为被国家有关单位确定为失信联合惩戒对象并纳入国家信用信息共享平台的；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（九）受到不得再次申请实习的处分，处分期限未满的；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（十）有其他产生严重不良社会影响行为的。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如本人存在前款所列第（三）、（四）、（六）、（七）、（十）项情形，并发生在申请实习人员十八周岁以前或者发生在实习登记三年以前，且本人确已改正的，本人将按照规定提交书面承诺及相关证明材料，经律师协会设立的专门委员会审核同意后才对本人准予实习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如本人存在前款所列第（八）项情形，且在本人移出失信联合惩戒对象名单之前，同意对本人不得准予实习登记。本人移出失信联合惩戒对象名单后，将按照上述规定提交相应书面承诺，经律师协会设立的专门委员会审核同意后才对本人准予实习登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三、本人提交的申办实习证材料的原件合法、真实，不存在不合法、虚假情况，提交申办实习证的全部材料符合《申请律师执业人员实习管理规则》、《</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"https://alphalawyer.cn/ilawregu-search/api/v1/lawregu/redict/737e56491a3e3589724c5f7ef5f60a8"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
          <w:sz w:val="32"/>
          <w:szCs w:val="32"/>
        </w:rPr>
        <w:t>广东省申请律师执业人员实习管理办法</w:t>
      </w:r>
      <w:r>
        <w:rPr>
          <w:rFonts w:hint="eastAsia" w:ascii="方正仿宋_GBK" w:hAnsi="方正仿宋_GBK" w:eastAsia="方正仿宋_GBK" w:cs="方正仿宋_GBK"/>
          <w:b/>
          <w:sz w:val="32"/>
          <w:szCs w:val="32"/>
        </w:rPr>
        <w:fldChar w:fldCharType="end"/>
      </w:r>
      <w:r>
        <w:rPr>
          <w:rFonts w:hint="eastAsia" w:ascii="方正仿宋_GBK" w:hAnsi="方正仿宋_GBK" w:eastAsia="方正仿宋_GBK" w:cs="方正仿宋_GBK"/>
          <w:b/>
          <w:sz w:val="32"/>
          <w:szCs w:val="32"/>
        </w:rPr>
        <w:t>》及《惠州市律师协会申请律师执业人员实习管理及考核实施细则》规定的申请实习需提交的材料。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四、本人将严格按照《申请律师执业人员实习管理规则》、《</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"https://alphalawyer.cn/ilawregu-search/api/v1/lawregu/redict/737e56491a3e3589724c5f7ef5f60a8"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
          <w:sz w:val="32"/>
          <w:szCs w:val="32"/>
        </w:rPr>
        <w:t>广东省申请律师执业人员实习管理办法</w:t>
      </w:r>
      <w:r>
        <w:rPr>
          <w:rFonts w:hint="eastAsia" w:ascii="方正仿宋_GBK" w:hAnsi="方正仿宋_GBK" w:eastAsia="方正仿宋_GBK" w:cs="方正仿宋_GBK"/>
          <w:b/>
          <w:sz w:val="32"/>
          <w:szCs w:val="32"/>
        </w:rPr>
        <w:fldChar w:fldCharType="end"/>
      </w:r>
      <w:r>
        <w:rPr>
          <w:rFonts w:hint="eastAsia" w:ascii="方正仿宋_GBK" w:hAnsi="方正仿宋_GBK" w:eastAsia="方正仿宋_GBK" w:cs="方正仿宋_GBK"/>
          <w:b/>
          <w:sz w:val="32"/>
          <w:szCs w:val="32"/>
        </w:rPr>
        <w:t>》及《惠州市律师协会申请律师执业人员实习管理及考核实施细则》规定进行专职实习，并愿意接</w:t>
      </w:r>
      <w:r>
        <w:rPr>
          <w:rFonts w:hint="eastAsia" w:ascii="方正仿宋_GBK" w:hAnsi="方正仿宋_GBK" w:eastAsia="方正仿宋_GBK" w:cs="方正仿宋_GBK"/>
          <w:b/>
          <w:sz w:val="32"/>
          <w:szCs w:val="32"/>
          <w:lang w:val="en-US" w:eastAsia="zh-CN"/>
        </w:rPr>
        <w:t>受</w:t>
      </w:r>
      <w:r>
        <w:rPr>
          <w:rFonts w:hint="eastAsia" w:ascii="方正仿宋_GBK" w:hAnsi="方正仿宋_GBK" w:eastAsia="方正仿宋_GBK" w:cs="方正仿宋_GBK"/>
          <w:b/>
          <w:sz w:val="32"/>
          <w:szCs w:val="32"/>
        </w:rPr>
        <w:t>律师事务所、指导律师对本人的指导、管理、监督，尽职尽责完成实习任务。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五、本人档案存放在</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人才交流中心。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本人</w:t>
      </w:r>
      <w:r>
        <w:rPr>
          <w:rFonts w:hint="eastAsia" w:ascii="方正仿宋_GBK" w:hAnsi="方正仿宋_GBK" w:eastAsia="方正仿宋_GBK" w:cs="方正仿宋_GBK"/>
          <w:b/>
          <w:bCs/>
          <w:sz w:val="32"/>
          <w:szCs w:val="32"/>
        </w:rPr>
        <w:t>承诺上述内容真实有效，并承担因未履行承诺、虚假承诺及提供虚假材料而产生的一切后果</w:t>
      </w:r>
      <w:r>
        <w:rPr>
          <w:rFonts w:hint="eastAsia" w:ascii="方正仿宋_GBK" w:hAnsi="方正仿宋_GBK" w:eastAsia="方正仿宋_GBK" w:cs="方正仿宋_GBK"/>
          <w:sz w:val="32"/>
          <w:szCs w:val="32"/>
        </w:rPr>
        <w:t>。</w:t>
      </w:r>
    </w:p>
    <w:p>
      <w:pPr>
        <w:widowControl/>
        <w:spacing w:line="540" w:lineRule="exact"/>
        <w:ind w:right="560" w:firstLine="3694" w:firstLineChars="1150"/>
        <w:contextualSpacing/>
        <w:rPr>
          <w:rFonts w:hint="eastAsia" w:ascii="方正仿宋_GBK" w:hAnsi="方正仿宋_GBK" w:eastAsia="方正仿宋_GBK" w:cs="方正仿宋_GBK"/>
          <w:b/>
          <w:bCs/>
          <w:sz w:val="32"/>
          <w:szCs w:val="32"/>
        </w:rPr>
      </w:pPr>
    </w:p>
    <w:p>
      <w:pPr>
        <w:widowControl/>
        <w:spacing w:line="540" w:lineRule="exact"/>
        <w:ind w:right="560" w:firstLine="3694" w:firstLineChars="1150"/>
        <w:contextualSpacing/>
        <w:rPr>
          <w:rFonts w:hint="eastAsia" w:ascii="方正仿宋_GBK" w:hAnsi="方正仿宋_GBK" w:eastAsia="方正仿宋_GBK" w:cs="方正仿宋_GBK"/>
          <w:b/>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561" w:firstLine="3534" w:firstLineChars="1100"/>
        <w:contextualSpacing/>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律师事务所（公章）：</w:t>
      </w:r>
    </w:p>
    <w:p>
      <w:pPr>
        <w:keepNext w:val="0"/>
        <w:keepLines w:val="0"/>
        <w:pageBreakBefore w:val="0"/>
        <w:widowControl/>
        <w:kinsoku/>
        <w:wordWrap/>
        <w:overflowPunct/>
        <w:topLinePunct w:val="0"/>
        <w:autoSpaceDE/>
        <w:autoSpaceDN/>
        <w:bidi w:val="0"/>
        <w:adjustRightInd/>
        <w:snapToGrid/>
        <w:spacing w:line="600" w:lineRule="exact"/>
        <w:ind w:right="561" w:firstLine="3534" w:firstLineChars="1100"/>
        <w:contextualSpacing/>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实习人员（签名）：</w:t>
      </w:r>
    </w:p>
    <w:p>
      <w:pPr>
        <w:keepNext w:val="0"/>
        <w:keepLines w:val="0"/>
        <w:pageBreakBefore w:val="0"/>
        <w:widowControl/>
        <w:kinsoku/>
        <w:wordWrap/>
        <w:overflowPunct/>
        <w:topLinePunct w:val="0"/>
        <w:autoSpaceDE/>
        <w:autoSpaceDN/>
        <w:bidi w:val="0"/>
        <w:adjustRightInd/>
        <w:snapToGrid/>
        <w:spacing w:line="600" w:lineRule="exact"/>
        <w:ind w:right="561" w:firstLine="3855" w:firstLineChars="1200"/>
        <w:contextualSpacing/>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0749117"/>
      <w:docPartObj>
        <w:docPartGallery w:val="autotext"/>
      </w:docPartObj>
    </w:sdtPr>
    <w:sdtEndPr>
      <w:rPr>
        <w:rFonts w:hint="eastAsia" w:asciiTheme="minorEastAsia" w:hAnsiTheme="minorEastAsia" w:eastAsiaTheme="minorEastAsia" w:cstheme="minorEastAsia"/>
        <w:sz w:val="28"/>
        <w:szCs w:val="28"/>
      </w:rPr>
    </w:sdtEndPr>
    <w:sdtContent>
      <w:sdt>
        <w:sdtPr>
          <w:id w:val="98381352"/>
          <w:docPartObj>
            <w:docPartGallery w:val="autotext"/>
          </w:docPartObj>
        </w:sdtPr>
        <w:sdtEndPr>
          <w:rPr>
            <w:rFonts w:hint="eastAsia" w:asciiTheme="minorEastAsia" w:hAnsiTheme="minorEastAsia" w:eastAsiaTheme="minorEastAsia" w:cstheme="minorEastAsia"/>
            <w:sz w:val="28"/>
            <w:szCs w:val="28"/>
          </w:rPr>
        </w:sdtEndPr>
        <w:sdt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PAGE</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sz w:val="28"/>
                <w:szCs w:val="28"/>
                <w:lang w:val="zh-CN"/>
              </w:rPr>
              <w:t xml:space="preserve"> /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NUMPAGES</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N2Q2MDc1NjUxYTQ3NTE2NmYxMDE4ZWZmNjYyNTkifQ=="/>
  </w:docVars>
  <w:rsids>
    <w:rsidRoot w:val="00CF368D"/>
    <w:rsid w:val="00116810"/>
    <w:rsid w:val="00153604"/>
    <w:rsid w:val="00253C0E"/>
    <w:rsid w:val="00387A0D"/>
    <w:rsid w:val="004367C0"/>
    <w:rsid w:val="004F31BC"/>
    <w:rsid w:val="005F4882"/>
    <w:rsid w:val="005F68BB"/>
    <w:rsid w:val="0063547F"/>
    <w:rsid w:val="00684BF8"/>
    <w:rsid w:val="00780B24"/>
    <w:rsid w:val="008858CE"/>
    <w:rsid w:val="008C7C46"/>
    <w:rsid w:val="00A07D2F"/>
    <w:rsid w:val="00CF368D"/>
    <w:rsid w:val="00D16E42"/>
    <w:rsid w:val="00F07477"/>
    <w:rsid w:val="00F974A4"/>
    <w:rsid w:val="01D824D1"/>
    <w:rsid w:val="2BE50C2E"/>
    <w:rsid w:val="33D43FFA"/>
    <w:rsid w:val="3CF317EE"/>
    <w:rsid w:val="4ACF2EB1"/>
    <w:rsid w:val="5E637A8E"/>
    <w:rsid w:val="61671671"/>
    <w:rsid w:val="70432DA3"/>
    <w:rsid w:val="7DD5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9"/>
    <w:qFormat/>
    <w:uiPriority w:val="11"/>
    <w:pPr>
      <w:spacing w:line="600" w:lineRule="exact"/>
      <w:contextualSpacing/>
    </w:pPr>
    <w:rPr>
      <w:rFonts w:ascii="仿宋" w:hAnsi="仿宋" w:eastAsia="仿宋" w:cs="Times New Roman"/>
      <w:b/>
      <w:sz w:val="32"/>
      <w:szCs w:val="32"/>
      <w:lang w:val="zh-CN" w:eastAsia="zh-CN"/>
    </w:rPr>
  </w:style>
  <w:style w:type="character" w:styleId="7">
    <w:name w:val="Strong"/>
    <w:qFormat/>
    <w:uiPriority w:val="22"/>
    <w:rPr>
      <w:b/>
    </w:rPr>
  </w:style>
  <w:style w:type="character" w:customStyle="1" w:styleId="8">
    <w:name w:val="sect2title1"/>
    <w:qFormat/>
    <w:uiPriority w:val="0"/>
    <w:rPr>
      <w:rFonts w:hint="eastAsia" w:ascii="微软雅黑" w:hAnsi="微软雅黑" w:eastAsia="微软雅黑"/>
      <w:b/>
      <w:bCs/>
      <w:sz w:val="21"/>
      <w:szCs w:val="21"/>
    </w:rPr>
  </w:style>
  <w:style w:type="character" w:customStyle="1" w:styleId="9">
    <w:name w:val="副标题 Char"/>
    <w:basedOn w:val="6"/>
    <w:link w:val="4"/>
    <w:qFormat/>
    <w:uiPriority w:val="11"/>
    <w:rPr>
      <w:rFonts w:ascii="仿宋" w:hAnsi="仿宋" w:eastAsia="仿宋" w:cs="Times New Roman"/>
      <w:b/>
      <w:sz w:val="32"/>
      <w:szCs w:val="32"/>
      <w:lang w:val="zh-CN" w:eastAsia="zh-CN"/>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230</Words>
  <Characters>1315</Characters>
  <Lines>10</Lines>
  <Paragraphs>3</Paragraphs>
  <TotalTime>0</TotalTime>
  <ScaleCrop>false</ScaleCrop>
  <LinksUpToDate>false</LinksUpToDate>
  <CharactersWithSpaces>1542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2023-07-26T10:31:00Z</dcterms:created>
  <dc:creator>tangchuxiang</dc:creator>
  <cp:lastModifiedBy>yanyan</cp:lastModifiedBy>
  <dcterms:modified xsi:type="dcterms:W3CDTF">2023-09-26T01:44:11Z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A5465451E17745A0AC5F25210AA85A5A_12</vt:lpwstr>
  </property>
</Properties>
</file>