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contextualSpacing/>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承 诺 书</w:t>
      </w:r>
    </w:p>
    <w:p>
      <w:pPr>
        <w:widowControl/>
        <w:spacing w:line="540" w:lineRule="exact"/>
        <w:ind w:firstLine="600" w:firstLineChars="200"/>
        <w:contextualSpacing/>
        <w:rPr>
          <w:rFonts w:ascii="仿宋" w:hAnsi="仿宋" w:eastAsia="仿宋" w:cs="方正小标宋_GBK"/>
          <w:sz w:val="30"/>
          <w:szCs w:val="30"/>
        </w:rPr>
      </w:pPr>
    </w:p>
    <w:p>
      <w:pPr>
        <w:keepNext w:val="0"/>
        <w:keepLines w:val="0"/>
        <w:pageBreakBefore w:val="0"/>
        <w:widowControl/>
        <w:kinsoku/>
        <w:wordWrap/>
        <w:overflowPunct/>
        <w:topLinePunct w:val="0"/>
        <w:autoSpaceDE/>
        <w:autoSpaceDN/>
        <w:bidi w:val="0"/>
        <w:adjustRightInd/>
        <w:snapToGrid/>
        <w:spacing w:line="560" w:lineRule="exact"/>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律师（律师执业证号：</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）作如下承诺：</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一、本律师符合中华全国律师协会《</w:t>
      </w:r>
      <w:bookmarkStart w:id="0" w:name="_Toc103600212"/>
      <w:r>
        <w:rPr>
          <w:rFonts w:hint="eastAsia" w:ascii="方正仿宋_GBK" w:hAnsi="方正仿宋_GBK" w:eastAsia="方正仿宋_GBK" w:cs="方正仿宋_GBK"/>
          <w:b/>
          <w:sz w:val="32"/>
          <w:szCs w:val="32"/>
        </w:rPr>
        <w:t>申请律师执业人员实习管理规则</w:t>
      </w:r>
      <w:bookmarkEnd w:id="0"/>
      <w:r>
        <w:rPr>
          <w:rFonts w:hint="eastAsia" w:ascii="方正仿宋_GBK" w:hAnsi="方正仿宋_GBK" w:eastAsia="方正仿宋_GBK" w:cs="方正仿宋_GBK"/>
          <w:b/>
          <w:sz w:val="32"/>
          <w:szCs w:val="32"/>
        </w:rPr>
        <w:t>》第十条、广东省律师协会《</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bookmarkStart w:id="1" w:name="_Toc103600217"/>
      <w:r>
        <w:rPr>
          <w:rFonts w:hint="eastAsia" w:ascii="方正仿宋_GBK" w:hAnsi="方正仿宋_GBK" w:eastAsia="方正仿宋_GBK" w:cs="方正仿宋_GBK"/>
          <w:b/>
          <w:sz w:val="32"/>
          <w:szCs w:val="32"/>
        </w:rPr>
        <w:t>广东省申请律师执业人员实习管理办法</w:t>
      </w:r>
      <w:bookmarkEnd w:id="1"/>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》第九条规定的条件：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（一）具有较高的政治素质，拥护中华人民共和国宪法，拥护中国共产党领导，拥护社会主义法治，尊崇宪法，忠实履行中国特色社会主义法治工作者职责使命；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（二）具有较高的职业道德素质，严格遵守律师执业行为规范，勤勉敬业，责任心强；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（三）具有较高的业务素质和丰富的实务经验，具备五年以上的执业经历；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（四）按照规定参加当年律师执业年度考核并且连续三年考核结果为“称职”等次；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（五）五年内未受到过司法行政机关的行政处罚或者律师协会的行业处分，且执业过程中未受到过停止执业的行政处罚或者律师协会中止会员权利的行业处分；党员律师五年内未受到过党纪处分；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（六）五年内未受到过禁止</w:t>
      </w:r>
      <w:bookmarkStart w:id="3" w:name="_GoBack"/>
      <w:bookmarkEnd w:id="3"/>
      <w:r>
        <w:rPr>
          <w:rFonts w:hint="eastAsia" w:ascii="方正仿宋_GBK" w:hAnsi="方正仿宋_GBK" w:eastAsia="方正仿宋_GBK" w:cs="方正仿宋_GBK"/>
          <w:sz w:val="32"/>
          <w:szCs w:val="32"/>
        </w:rPr>
        <w:t>指导实习人员实习的处分；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（七）未因严重失信行为被国家有关单位确定为失信联合惩戒对象并纳入国家信用信息共享平台的。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二、本律师作为拟申请律师执业人员（实习人员）</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的指导律师，已对其申请实习条件进行严格审查，申请律师执业人员（实习人员）</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符合《申请律师执业人员实习管理规则》、《</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
          <w:sz w:val="32"/>
          <w:szCs w:val="32"/>
        </w:rPr>
        <w:t>广东省申请律师执业人员实习管理办法</w:t>
      </w:r>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》及</w:t>
      </w:r>
      <w:bookmarkStart w:id="2" w:name="_Toc103600220"/>
      <w:r>
        <w:rPr>
          <w:rFonts w:hint="eastAsia" w:ascii="方正仿宋_GBK" w:hAnsi="方正仿宋_GBK" w:eastAsia="方正仿宋_GBK" w:cs="方正仿宋_GBK"/>
          <w:b/>
          <w:sz w:val="32"/>
          <w:szCs w:val="32"/>
        </w:rPr>
        <w:t>《惠州市律师协会申请律师执业人员实习管理及考核实施细则</w:t>
      </w:r>
      <w:bookmarkEnd w:id="2"/>
      <w:r>
        <w:rPr>
          <w:rFonts w:hint="eastAsia" w:ascii="方正仿宋_GBK" w:hAnsi="方正仿宋_GBK" w:eastAsia="方正仿宋_GBK" w:cs="方正仿宋_GBK"/>
          <w:b/>
          <w:sz w:val="32"/>
          <w:szCs w:val="32"/>
        </w:rPr>
        <w:t>》规定的申请实习人员应当符合的条件。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三、本律师已对拟申请律师执业人员（实习人员）</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提交申办实习证材料的原件及其合法性、真实性进行严格审查，不存在不合法、虚假情况，提交申办实习证的全部材料符合《申请律师执业人员实习管理规则》、《</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
          <w:sz w:val="32"/>
          <w:szCs w:val="32"/>
        </w:rPr>
        <w:t>广东省申请律师执业人员实习管理办法</w:t>
      </w:r>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》及《惠州市律师协会申请律师执业人员实习管理及考核实施细则》规定的申请实习需提交的材料。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四、本律师将严格按照《申请律师执业人员实习管理规则》、《</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
          <w:sz w:val="32"/>
          <w:szCs w:val="32"/>
        </w:rPr>
        <w:t>广东省申请律师执业人员实习管理办法</w:t>
      </w:r>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》及《惠州市律师协会申请律师执业人员实习管理及考核实施细则》规定对申请律师执业人员（实习人员）</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进行指导、管理、监督，严格履行《申请律师执业人员实习管理规则》第二十一条、《</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"https://alphalawyer.cn/ilawregu-search/api/v1/lawregu/redict/737e56491a3e3589724c5f7ef5f60a8"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b/>
          <w:sz w:val="32"/>
          <w:szCs w:val="32"/>
        </w:rPr>
        <w:t>广东省申请律师执业人员实习管理办法</w:t>
      </w:r>
      <w:r>
        <w:rPr>
          <w:rFonts w:hint="eastAsia" w:ascii="方正仿宋_GBK" w:hAnsi="方正仿宋_GBK" w:eastAsia="方正仿宋_GBK" w:cs="方正仿宋_GBK"/>
          <w:b/>
          <w:sz w:val="32"/>
          <w:szCs w:val="32"/>
        </w:rPr>
        <w:fldChar w:fldCharType="end"/>
      </w:r>
      <w:r>
        <w:rPr>
          <w:rFonts w:hint="eastAsia" w:ascii="方正仿宋_GBK" w:hAnsi="方正仿宋_GBK" w:eastAsia="方正仿宋_GBK" w:cs="方正仿宋_GBK"/>
          <w:b/>
          <w:sz w:val="32"/>
          <w:szCs w:val="32"/>
        </w:rPr>
        <w:t>》第十一条规定的职责：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（一）对实习人员进行律师职业道德和执业纪律教育；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（二）安排实习人员协助办理律师业务，指导实习人员进行律师执业基础技能训练；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（三）指导实习人员学习掌握律师执业管理的制度和规定；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（四）指导实习人员学习掌握律师执业业务规则和办理律师各项业务的执业规则；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（五）指导实习人员进行律师执业基本技能训练；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（六）监督实习人员的实习活动和实习表现，定期记录并作出评估，发现问题及时纠正；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（七）对实习人员遵纪守法的情况和品行进行监督、考查，在实习结束时对实习人员的政治素质、道德品行、执业素养以及完成集中培训和实务训练的情况、遵守律师职业道德和实习纪律的情况出具考评意见。</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本律师</w:t>
      </w:r>
      <w:r>
        <w:rPr>
          <w:rFonts w:hint="eastAsia" w:ascii="方正仿宋_GBK" w:hAnsi="方正仿宋_GBK" w:eastAsia="方正仿宋_GBK" w:cs="方正仿宋_GBK"/>
          <w:b/>
          <w:bCs/>
          <w:sz w:val="32"/>
          <w:szCs w:val="32"/>
        </w:rPr>
        <w:t>承诺上述内容真实有效，并承担因未履行承诺、虚假承诺及提供虚假材料而产生的一切后果</w:t>
      </w:r>
      <w:r>
        <w:rPr>
          <w:rFonts w:hint="eastAsia" w:ascii="方正仿宋_GBK" w:hAnsi="方正仿宋_GBK" w:eastAsia="方正仿宋_GBK" w:cs="方正仿宋_GBK"/>
          <w:sz w:val="32"/>
          <w:szCs w:val="32"/>
        </w:rPr>
        <w:t>。</w:t>
      </w:r>
    </w:p>
    <w:p>
      <w:pPr>
        <w:widowControl/>
        <w:spacing w:line="540" w:lineRule="exact"/>
        <w:ind w:right="560" w:firstLine="3694" w:firstLineChars="1150"/>
        <w:contextualSpacing/>
        <w:rPr>
          <w:rFonts w:hint="eastAsia" w:ascii="方正仿宋_GBK" w:hAnsi="方正仿宋_GBK" w:eastAsia="方正仿宋_GBK" w:cs="方正仿宋_GBK"/>
          <w:b/>
          <w:bCs/>
          <w:sz w:val="32"/>
          <w:szCs w:val="32"/>
        </w:rPr>
      </w:pPr>
    </w:p>
    <w:p>
      <w:pPr>
        <w:widowControl/>
        <w:spacing w:line="540" w:lineRule="exact"/>
        <w:ind w:right="560" w:firstLine="3694" w:firstLineChars="1150"/>
        <w:contextualSpacing/>
        <w:rPr>
          <w:rFonts w:hint="eastAsia" w:ascii="方正仿宋_GBK" w:hAnsi="方正仿宋_GBK" w:eastAsia="方正仿宋_GBK" w:cs="方正仿宋_GBK"/>
          <w:b/>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right="561" w:firstLine="3534" w:firstLineChars="1100"/>
        <w:contextualSpacing/>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律师事务所（公章）：</w:t>
      </w:r>
    </w:p>
    <w:p>
      <w:pPr>
        <w:keepNext w:val="0"/>
        <w:keepLines w:val="0"/>
        <w:pageBreakBefore w:val="0"/>
        <w:widowControl/>
        <w:kinsoku/>
        <w:wordWrap/>
        <w:overflowPunct/>
        <w:topLinePunct w:val="0"/>
        <w:autoSpaceDE/>
        <w:autoSpaceDN/>
        <w:bidi w:val="0"/>
        <w:adjustRightInd/>
        <w:snapToGrid/>
        <w:spacing w:line="600" w:lineRule="exact"/>
        <w:ind w:right="561" w:firstLine="3534" w:firstLineChars="1100"/>
        <w:contextualSpacing/>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指导律师（签名）：</w:t>
      </w:r>
    </w:p>
    <w:p>
      <w:pPr>
        <w:keepNext w:val="0"/>
        <w:keepLines w:val="0"/>
        <w:pageBreakBefore w:val="0"/>
        <w:widowControl/>
        <w:kinsoku/>
        <w:wordWrap/>
        <w:overflowPunct/>
        <w:topLinePunct w:val="0"/>
        <w:autoSpaceDE/>
        <w:autoSpaceDN/>
        <w:bidi w:val="0"/>
        <w:adjustRightInd/>
        <w:snapToGrid/>
        <w:spacing w:line="600" w:lineRule="exact"/>
        <w:ind w:right="561" w:firstLine="3694" w:firstLineChars="1150"/>
        <w:contextualSpacing/>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0749117"/>
      <w:docPartObj>
        <w:docPartGallery w:val="AutoText"/>
      </w:docPartObj>
    </w:sdtPr>
    <w:sdtEndPr>
      <w:rPr>
        <w:rFonts w:hint="eastAsia" w:asciiTheme="minorEastAsia" w:hAnsiTheme="minorEastAsia" w:eastAsiaTheme="minorEastAsia" w:cstheme="minorEastAsia"/>
        <w:sz w:val="28"/>
        <w:szCs w:val="28"/>
      </w:rPr>
    </w:sdtEndPr>
    <w:sdtContent>
      <w:sdt>
        <w:sdtPr>
          <w:id w:val="98381352"/>
          <w:docPartObj>
            <w:docPartGallery w:val="AutoText"/>
          </w:docPartObj>
        </w:sdtPr>
        <w:sdtEndPr>
          <w:rPr>
            <w:rFonts w:hint="eastAsia" w:asciiTheme="minorEastAsia" w:hAnsiTheme="minorEastAsia" w:eastAsiaTheme="minorEastAsia" w:cstheme="minorEastAsia"/>
            <w:sz w:val="28"/>
            <w:szCs w:val="28"/>
          </w:rPr>
        </w:sdtEndPr>
        <w:sdtContent>
          <w:p>
            <w:pPr>
              <w:pStyle w:val="2"/>
              <w:jc w:val="center"/>
              <w:rPr>
                <w:rFonts w:hint="eastAsia" w:asciiTheme="minorEastAsia" w:hAnsiTheme="minorEastAsia" w:eastAsiaTheme="minorEastAsia" w:cstheme="minorEastAsia"/>
                <w:sz w:val="28"/>
                <w:szCs w:val="28"/>
              </w:rPr>
            </w:pPr>
            <w:r>
              <w:rPr>
                <w:lang w:val="zh-CN"/>
              </w:rPr>
              <w:t xml:space="preserve">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PAGE</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sz w:val="28"/>
                <w:szCs w:val="28"/>
                <w:lang w:val="zh-CN"/>
              </w:rPr>
              <w:t xml:space="preserve"> / </w:t>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NUMPAGES</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lN2Q2MDc1NjUxYTQ3NTE2NmYxMDE4ZWZmNjYyNTkifQ=="/>
  </w:docVars>
  <w:rsids>
    <w:rsidRoot w:val="00CF368D"/>
    <w:rsid w:val="00153604"/>
    <w:rsid w:val="00253C0E"/>
    <w:rsid w:val="00387A0D"/>
    <w:rsid w:val="004F31BC"/>
    <w:rsid w:val="005F4882"/>
    <w:rsid w:val="0063547F"/>
    <w:rsid w:val="00684BF8"/>
    <w:rsid w:val="00780B24"/>
    <w:rsid w:val="00A07D2F"/>
    <w:rsid w:val="00C53CD6"/>
    <w:rsid w:val="00CA526A"/>
    <w:rsid w:val="00CF368D"/>
    <w:rsid w:val="00F974A4"/>
    <w:rsid w:val="1B357338"/>
    <w:rsid w:val="6B3F1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9"/>
    <w:qFormat/>
    <w:uiPriority w:val="11"/>
    <w:pPr>
      <w:spacing w:line="600" w:lineRule="exact"/>
      <w:contextualSpacing/>
    </w:pPr>
    <w:rPr>
      <w:rFonts w:ascii="仿宋" w:hAnsi="仿宋" w:eastAsia="仿宋" w:cs="Times New Roman"/>
      <w:b/>
      <w:sz w:val="32"/>
      <w:szCs w:val="32"/>
      <w:lang w:val="zh-CN" w:eastAsia="zh-CN"/>
    </w:rPr>
  </w:style>
  <w:style w:type="character" w:styleId="7">
    <w:name w:val="Strong"/>
    <w:qFormat/>
    <w:uiPriority w:val="22"/>
    <w:rPr>
      <w:b/>
    </w:rPr>
  </w:style>
  <w:style w:type="character" w:customStyle="1" w:styleId="8">
    <w:name w:val="sect2title1"/>
    <w:uiPriority w:val="0"/>
    <w:rPr>
      <w:rFonts w:hint="eastAsia" w:ascii="微软雅黑" w:hAnsi="微软雅黑" w:eastAsia="微软雅黑"/>
      <w:b/>
      <w:bCs/>
      <w:sz w:val="21"/>
      <w:szCs w:val="21"/>
    </w:rPr>
  </w:style>
  <w:style w:type="character" w:customStyle="1" w:styleId="9">
    <w:name w:val="副标题 Char"/>
    <w:basedOn w:val="6"/>
    <w:link w:val="4"/>
    <w:uiPriority w:val="11"/>
    <w:rPr>
      <w:rFonts w:ascii="仿宋" w:hAnsi="仿宋" w:eastAsia="仿宋" w:cs="Times New Roman"/>
      <w:b/>
      <w:sz w:val="32"/>
      <w:szCs w:val="32"/>
      <w:lang w:val="zh-CN" w:eastAsia="zh-CN"/>
    </w:rPr>
  </w:style>
  <w:style w:type="character" w:customStyle="1" w:styleId="10">
    <w:name w:val="页眉 Char"/>
    <w:basedOn w:val="6"/>
    <w:link w:val="3"/>
    <w:uiPriority w:val="99"/>
    <w:rPr>
      <w:sz w:val="18"/>
      <w:szCs w:val="18"/>
    </w:rPr>
  </w:style>
  <w:style w:type="character" w:customStyle="1" w:styleId="11">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277</Words>
  <Characters>1579</Characters>
  <Lines>13</Lines>
  <Paragraphs>3</Paragraphs>
  <TotalTime>14</TotalTime>
  <ScaleCrop>false</ScaleCrop>
  <LinksUpToDate>false</LinksUpToDate>
  <CharactersWithSpaces>1853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2023-07-25T08:01:00Z</dcterms:created>
  <dc:creator>tangchuxiang</dc:creator>
  <cp:lastModifiedBy>yanyan</cp:lastModifiedBy>
  <dcterms:modified xsi:type="dcterms:W3CDTF">2023-09-21T01:54:32Z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7E52C6EEBDF0425BB9D8F58BFA2E2A72_12</vt:lpwstr>
  </property>
</Properties>
</file>